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1B9E244B" w14:textId="08CB057F" w:rsidR="00F42E00" w:rsidRPr="00ED02EE" w:rsidRDefault="00F42E00" w:rsidP="00F42E00">
      <w:pPr>
        <w:widowControl w:val="0"/>
        <w:spacing w:line="276" w:lineRule="auto"/>
        <w:jc w:val="both"/>
        <w:rPr>
          <w:spacing w:val="-4"/>
          <w:sz w:val="24"/>
          <w:szCs w:val="24"/>
        </w:rPr>
      </w:pPr>
      <w:r w:rsidRPr="00ED02EE">
        <w:rPr>
          <w:spacing w:val="-4"/>
          <w:sz w:val="24"/>
          <w:szCs w:val="24"/>
        </w:rPr>
        <w:t>umowa podpisywana za pomocą odręcznego podpisu zawarta w dniu  ……………… r.   pomiędzy:</w:t>
      </w:r>
    </w:p>
    <w:p w14:paraId="7D34F609" w14:textId="77777777" w:rsidR="00011CFB" w:rsidRDefault="00011CFB" w:rsidP="00756244">
      <w:pPr>
        <w:widowControl w:val="0"/>
        <w:spacing w:line="276" w:lineRule="auto"/>
        <w:rPr>
          <w:spacing w:val="-4"/>
          <w:sz w:val="22"/>
          <w:szCs w:val="22"/>
        </w:rPr>
      </w:pPr>
    </w:p>
    <w:p w14:paraId="671B3627" w14:textId="0AC2AD93"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reprezentowaną przez:</w:t>
      </w:r>
    </w:p>
    <w:p w14:paraId="19F96FB4" w14:textId="6DC01862"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1.</w:t>
      </w:r>
      <w:r w:rsidR="00756244">
        <w:rPr>
          <w:spacing w:val="-4"/>
          <w:sz w:val="22"/>
          <w:szCs w:val="22"/>
        </w:rPr>
        <w:tab/>
      </w:r>
      <w:r w:rsidRPr="00A97FCF">
        <w:rPr>
          <w:spacing w:val="-4"/>
          <w:sz w:val="22"/>
          <w:szCs w:val="22"/>
        </w:rPr>
        <w:t>……………………</w:t>
      </w:r>
      <w:r w:rsidR="00756244">
        <w:rPr>
          <w:spacing w:val="-4"/>
          <w:sz w:val="22"/>
          <w:szCs w:val="22"/>
        </w:rPr>
        <w:t>……………………………………………………………………………</w:t>
      </w:r>
    </w:p>
    <w:p w14:paraId="113F17B2" w14:textId="73EC3906"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2.</w:t>
      </w:r>
      <w:r w:rsidR="00756244">
        <w:rPr>
          <w:spacing w:val="-4"/>
          <w:sz w:val="22"/>
          <w:szCs w:val="22"/>
        </w:rPr>
        <w:tab/>
      </w:r>
      <w:r w:rsidRPr="00A97FCF">
        <w:rPr>
          <w:spacing w:val="-4"/>
          <w:sz w:val="22"/>
          <w:szCs w:val="22"/>
        </w:rPr>
        <w:t>……………………………</w:t>
      </w:r>
      <w:r w:rsidR="00756244">
        <w:rPr>
          <w:spacing w:val="-4"/>
          <w:sz w:val="22"/>
          <w:szCs w:val="22"/>
        </w:rPr>
        <w:t>………………………………………………………………………</w:t>
      </w:r>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7C76B53E"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w imieniu którego działają:</w:t>
      </w:r>
    </w:p>
    <w:p w14:paraId="517883E6"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1.</w:t>
      </w:r>
      <w:r>
        <w:rPr>
          <w:spacing w:val="-4"/>
          <w:sz w:val="22"/>
          <w:szCs w:val="22"/>
        </w:rPr>
        <w:tab/>
      </w:r>
      <w:r w:rsidRPr="00A97FCF">
        <w:rPr>
          <w:spacing w:val="-4"/>
          <w:sz w:val="22"/>
          <w:szCs w:val="22"/>
        </w:rPr>
        <w:t>……………………</w:t>
      </w:r>
      <w:r>
        <w:rPr>
          <w:spacing w:val="-4"/>
          <w:sz w:val="22"/>
          <w:szCs w:val="22"/>
        </w:rPr>
        <w:t>……………………………………………………………………………</w:t>
      </w:r>
    </w:p>
    <w:p w14:paraId="1768EDCB"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2.</w:t>
      </w:r>
      <w:r>
        <w:rPr>
          <w:spacing w:val="-4"/>
          <w:sz w:val="22"/>
          <w:szCs w:val="22"/>
        </w:rPr>
        <w:tab/>
      </w:r>
      <w:r w:rsidRPr="00A97FCF">
        <w:rPr>
          <w:spacing w:val="-4"/>
          <w:sz w:val="22"/>
          <w:szCs w:val="22"/>
        </w:rPr>
        <w:t>……………………………</w:t>
      </w:r>
      <w:r>
        <w:rPr>
          <w:spacing w:val="-4"/>
          <w:sz w:val="22"/>
          <w:szCs w:val="22"/>
        </w:rPr>
        <w:t>………………………………………………………………………</w:t>
      </w:r>
    </w:p>
    <w:p w14:paraId="44FB160B" w14:textId="77777777" w:rsidR="00011CFB" w:rsidRPr="00A97FCF"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445BA480"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310FE2" w:rsidRPr="00ED02EE">
          <w:rPr>
            <w:rStyle w:val="Hipercze"/>
            <w:spacing w:val="-4"/>
            <w:sz w:val="22"/>
            <w:szCs w:val="22"/>
          </w:rPr>
          <w:t>https://www.pgg.pl/strefa-korporacyjna/dostawcy/profil-nabywcy/cennik-uslug-pgg</w:t>
        </w:r>
      </w:hyperlink>
      <w:r w:rsidR="00E3518F" w:rsidRPr="00A97FCF">
        <w:rPr>
          <w:spacing w:val="-4"/>
          <w:sz w:val="22"/>
          <w:szCs w:val="22"/>
        </w:rPr>
        <w:t>,</w:t>
      </w:r>
      <w:r w:rsidR="00310FE2">
        <w:rPr>
          <w:spacing w:val="-4"/>
          <w:sz w:val="22"/>
          <w:szCs w:val="22"/>
        </w:rPr>
        <w:t xml:space="preserve"> </w:t>
      </w:r>
      <w:r w:rsidR="00E3518F" w:rsidRPr="00A97FCF">
        <w:rPr>
          <w:spacing w:val="-4"/>
          <w:sz w:val="22"/>
          <w:szCs w:val="22"/>
        </w:rPr>
        <w:t>w</w:t>
      </w:r>
      <w:r w:rsidR="00310FE2">
        <w:rPr>
          <w:spacing w:val="-4"/>
          <w:sz w:val="22"/>
          <w:szCs w:val="22"/>
        </w:rPr>
        <w:t xml:space="preserve"> </w:t>
      </w:r>
      <w:r w:rsidR="00E3518F" w:rsidRPr="00A97FCF">
        <w:rPr>
          <w:spacing w:val="-4"/>
          <w:sz w:val="22"/>
          <w:szCs w:val="22"/>
        </w:rPr>
        <w:t>związku</w:t>
      </w:r>
      <w:r w:rsidR="00310FE2">
        <w:rPr>
          <w:spacing w:val="-4"/>
          <w:sz w:val="22"/>
          <w:szCs w:val="22"/>
        </w:rPr>
        <w:t xml:space="preserve"> </w:t>
      </w:r>
      <w:r w:rsidR="00E3518F" w:rsidRPr="00A97FCF">
        <w:rPr>
          <w:spacing w:val="-4"/>
          <w:sz w:val="22"/>
          <w:szCs w:val="22"/>
        </w:rPr>
        <w:t xml:space="preserve">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r w:rsidR="00B3241A" w:rsidRPr="00A97FCF">
        <w:rPr>
          <w:spacing w:val="-4"/>
          <w:sz w:val="22"/>
          <w:szCs w:val="22"/>
        </w:rPr>
        <w:t>maskowni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r w:rsidRPr="00A97FCF">
        <w:rPr>
          <w:spacing w:val="-4"/>
          <w:sz w:val="22"/>
          <w:szCs w:val="22"/>
        </w:rPr>
        <w:t>maskowni</w:t>
      </w:r>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w:t>
      </w:r>
      <w:r w:rsidR="00217DE6" w:rsidRPr="00A97FCF">
        <w:rPr>
          <w:spacing w:val="-4"/>
          <w:sz w:val="22"/>
          <w:szCs w:val="22"/>
        </w:rPr>
        <w:lastRenderedPageBreak/>
        <w:t xml:space="preserve">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1D8B55B2"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indywidualnych kar</w:t>
      </w:r>
      <w:r w:rsidR="0003358C">
        <w:rPr>
          <w:spacing w:val="-4"/>
          <w:sz w:val="22"/>
          <w:szCs w:val="22"/>
        </w:rPr>
        <w:t>t</w:t>
      </w:r>
      <w:r w:rsidR="007D03FB" w:rsidRPr="00756244">
        <w:rPr>
          <w:spacing w:val="-4"/>
          <w:sz w:val="22"/>
          <w:szCs w:val="22"/>
        </w:rPr>
        <w:t xml:space="preserve">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7924A2B7" w14:textId="5E26C61E" w:rsidR="005F718D" w:rsidRPr="00A97FCF" w:rsidRDefault="005F718D"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lastRenderedPageBreak/>
        <w:t>Za opóźnienia w zapłacie wynagrodzenia Zleceniobiorcy przysługują odsetki</w:t>
      </w:r>
      <w:r w:rsidR="0089363B" w:rsidRPr="00A97FCF">
        <w:rPr>
          <w:spacing w:val="-4"/>
          <w:sz w:val="22"/>
          <w:szCs w:val="22"/>
        </w:rPr>
        <w:t xml:space="preserve"> naliczone zgodnie </w:t>
      </w:r>
      <w:r w:rsidR="00E93406">
        <w:rPr>
          <w:spacing w:val="-4"/>
          <w:sz w:val="22"/>
          <w:szCs w:val="22"/>
        </w:rPr>
        <w:br/>
      </w:r>
      <w:r w:rsidR="0089363B" w:rsidRPr="00A97FCF">
        <w:rPr>
          <w:spacing w:val="-4"/>
          <w:sz w:val="22"/>
          <w:szCs w:val="22"/>
        </w:rPr>
        <w:t xml:space="preserve">z ustawą </w:t>
      </w:r>
      <w:r w:rsidR="000F7D4F" w:rsidRPr="00A97FCF">
        <w:rPr>
          <w:spacing w:val="-4"/>
          <w:sz w:val="22"/>
          <w:szCs w:val="22"/>
        </w:rPr>
        <w:t>z</w:t>
      </w:r>
      <w:r w:rsidR="0089363B" w:rsidRPr="00A97FCF">
        <w:rPr>
          <w:spacing w:val="-4"/>
          <w:sz w:val="22"/>
          <w:szCs w:val="22"/>
        </w:rPr>
        <w:t xml:space="preserve"> dnia 8 marca 2013</w:t>
      </w:r>
      <w:r w:rsidR="000F7D4F" w:rsidRPr="00A97FCF">
        <w:rPr>
          <w:spacing w:val="-4"/>
          <w:sz w:val="22"/>
          <w:szCs w:val="22"/>
        </w:rPr>
        <w:t xml:space="preserve"> </w:t>
      </w:r>
      <w:r w:rsidR="0089363B" w:rsidRPr="00A97FCF">
        <w:rPr>
          <w:spacing w:val="-4"/>
          <w:sz w:val="22"/>
          <w:szCs w:val="22"/>
        </w:rPr>
        <w:t>r. o terminach zapłaty w transakcjach handlowych (tj.</w:t>
      </w:r>
      <w:r w:rsidR="00E71D89">
        <w:rPr>
          <w:spacing w:val="-4"/>
          <w:sz w:val="22"/>
          <w:szCs w:val="22"/>
        </w:rPr>
        <w:t xml:space="preserve"> </w:t>
      </w:r>
      <w:r w:rsidR="0089363B" w:rsidRPr="00A97FCF">
        <w:rPr>
          <w:spacing w:val="-4"/>
          <w:sz w:val="22"/>
          <w:szCs w:val="22"/>
        </w:rPr>
        <w:t>Dz.</w:t>
      </w:r>
      <w:r w:rsidR="002F4C89" w:rsidRPr="00A97FCF">
        <w:rPr>
          <w:spacing w:val="-4"/>
          <w:sz w:val="22"/>
          <w:szCs w:val="22"/>
        </w:rPr>
        <w:t xml:space="preserve"> </w:t>
      </w:r>
      <w:r w:rsidR="0089363B" w:rsidRPr="00A97FCF">
        <w:rPr>
          <w:spacing w:val="-4"/>
          <w:sz w:val="22"/>
          <w:szCs w:val="22"/>
        </w:rPr>
        <w:t>U. z 2019</w:t>
      </w:r>
      <w:r w:rsidR="00E71D89">
        <w:rPr>
          <w:spacing w:val="-4"/>
          <w:sz w:val="22"/>
          <w:szCs w:val="22"/>
        </w:rPr>
        <w:t xml:space="preserve"> </w:t>
      </w:r>
      <w:r w:rsidR="0089363B" w:rsidRPr="00A97FCF">
        <w:rPr>
          <w:spacing w:val="-4"/>
          <w:sz w:val="22"/>
          <w:szCs w:val="22"/>
        </w:rPr>
        <w:t>r., poz.</w:t>
      </w:r>
      <w:r w:rsidR="00E71D89">
        <w:rPr>
          <w:spacing w:val="-4"/>
          <w:sz w:val="22"/>
          <w:szCs w:val="22"/>
        </w:rPr>
        <w:t xml:space="preserve"> </w:t>
      </w:r>
      <w:r w:rsidR="0089363B" w:rsidRPr="00A97FCF">
        <w:rPr>
          <w:spacing w:val="-4"/>
          <w:sz w:val="22"/>
          <w:szCs w:val="22"/>
        </w:rPr>
        <w:t>118 z późn.zm.)</w:t>
      </w:r>
      <w:r w:rsidRPr="00A97FCF">
        <w:rPr>
          <w:spacing w:val="-4"/>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2BAF23E7" w14:textId="77777777" w:rsidR="00E93406" w:rsidRPr="00DE083F" w:rsidRDefault="00E93406" w:rsidP="00E93406">
      <w:pPr>
        <w:widowControl w:val="0"/>
        <w:numPr>
          <w:ilvl w:val="0"/>
          <w:numId w:val="12"/>
        </w:numPr>
        <w:tabs>
          <w:tab w:val="clear" w:pos="1164"/>
          <w:tab w:val="left" w:pos="426"/>
        </w:tabs>
        <w:spacing w:line="276" w:lineRule="auto"/>
        <w:ind w:left="426" w:hanging="426"/>
        <w:jc w:val="both"/>
        <w:rPr>
          <w:spacing w:val="-4"/>
          <w:sz w:val="22"/>
          <w:szCs w:val="22"/>
        </w:rPr>
      </w:pPr>
      <w:r w:rsidRPr="00DE083F">
        <w:rPr>
          <w:spacing w:val="-4"/>
          <w:sz w:val="22"/>
          <w:szCs w:val="22"/>
        </w:rPr>
        <w:t xml:space="preserve">W związku z wykonywaniem niniejszej umowy dochodzi do udostępnienia przez jedną ze Stron drugiej Stronie danych osobowych osób zaangażowanych w zawarcie oraz wykonywanie umowy (dalej jako „dane osobowe”). </w:t>
      </w:r>
    </w:p>
    <w:p w14:paraId="79011594" w14:textId="27B0B976"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Celem przetwarzania danych osobowych udostępnionych  przez Strony jest zawarcie oraz wykonanie niniejszej umowy. Przez wykonanie niniejszej umowy Strony rozumieją w szczególności: nawiązanie i utrzymywanie stałego kontaktu na potrzeby wykonania umowy, realizację wszelkich zobowiązań wynikających z umowy; jeżeli to potrzebne: udostępnienie danych osobowych podwykonawcom </w:t>
      </w:r>
      <w:r w:rsidRPr="00DE083F">
        <w:rPr>
          <w:spacing w:val="-4"/>
          <w:sz w:val="22"/>
          <w:szCs w:val="22"/>
        </w:rPr>
        <w:br/>
        <w:t xml:space="preserve">i innym partnerom handlowym zaangażowanym w wykonanie umowy, uzgadnianie sposobów wykonania zobowiązań. </w:t>
      </w:r>
    </w:p>
    <w:p w14:paraId="39A5C59A" w14:textId="23AC3E1F"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Udostępnienie danych osobowych powoduje, iż Strona której udostępniono dane osobowe staje się ich administratorem w rozumieniu art. 4 pkt 7 Rozporządzenia Parlamentu Europejskiego i Rady </w:t>
      </w:r>
      <w:r w:rsidRPr="00DE083F">
        <w:rPr>
          <w:spacing w:val="-4"/>
          <w:sz w:val="22"/>
          <w:szCs w:val="22"/>
        </w:rPr>
        <w:br/>
        <w:t xml:space="preserve">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ustalając cele i sposoby ich przetwarzania, </w:t>
      </w:r>
      <w:r w:rsidRPr="00DE083F">
        <w:rPr>
          <w:spacing w:val="-4"/>
          <w:sz w:val="22"/>
          <w:szCs w:val="22"/>
        </w:rPr>
        <w:br/>
        <w:t>z uwzględnieniem zasad wynikających z art. 5 RODO.</w:t>
      </w:r>
    </w:p>
    <w:p w14:paraId="279A8215" w14:textId="13926317"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7D3100" w14:textId="220DBDA3"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Strony umowy w związku z udostępnieniem danych osobowych zobowiązane są do spełnienia obowiązku informacyjnego wobec osób, których dane pozyskują. </w:t>
      </w:r>
    </w:p>
    <w:p w14:paraId="76CDB0E0" w14:textId="599F3651"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Polska Grupa Górnicza S.A. spełnia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4C078686" w14:textId="51400294"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Kontrahent w razie potrzeby określa spełnienie obowiązku informacyjnego wobec osób których dane pozyskuje.</w:t>
      </w:r>
    </w:p>
    <w:p w14:paraId="12A6B6D7" w14:textId="32F4BCDD"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77777777" w:rsidR="00011CFB" w:rsidRPr="00A97FCF"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77777777" w:rsidR="00ED02EE" w:rsidRDefault="00ED02EE" w:rsidP="00ED02EE">
      <w:pPr>
        <w:widowControl w:val="0"/>
        <w:spacing w:line="276" w:lineRule="auto"/>
        <w:jc w:val="center"/>
        <w:rPr>
          <w:spacing w:val="-4"/>
          <w:sz w:val="22"/>
          <w:szCs w:val="22"/>
        </w:rPr>
      </w:pP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xml:space="preserve">, a w miejsce dotychczasowych umów zawierana jest nowa umowa w brzmieniu określonym </w:t>
      </w:r>
      <w:r w:rsidR="001A7C22" w:rsidRPr="00A97FCF">
        <w:rPr>
          <w:spacing w:val="-4"/>
          <w:sz w:val="22"/>
          <w:szCs w:val="22"/>
        </w:rPr>
        <w:lastRenderedPageBreak/>
        <w:t>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5BDDCF08" w14:textId="77777777" w:rsidR="00011CFB" w:rsidRDefault="00011CFB" w:rsidP="00756244">
      <w:pPr>
        <w:widowControl w:val="0"/>
        <w:spacing w:line="276" w:lineRule="auto"/>
        <w:ind w:left="240"/>
        <w:jc w:val="center"/>
        <w:rPr>
          <w:spacing w:val="-4"/>
          <w:sz w:val="22"/>
          <w:szCs w:val="22"/>
        </w:rPr>
      </w:pPr>
    </w:p>
    <w:p w14:paraId="27D16513" w14:textId="3858B9DC" w:rsidR="00B01CF8" w:rsidRDefault="00B01CF8" w:rsidP="00756244">
      <w:pPr>
        <w:widowControl w:val="0"/>
        <w:spacing w:line="276" w:lineRule="auto"/>
        <w:ind w:left="240"/>
        <w:jc w:val="center"/>
        <w:rPr>
          <w:spacing w:val="-4"/>
          <w:sz w:val="22"/>
          <w:szCs w:val="22"/>
        </w:rPr>
      </w:pPr>
    </w:p>
    <w:p w14:paraId="1B962C25" w14:textId="77777777" w:rsidR="00ED02EE" w:rsidRPr="00A97FCF" w:rsidRDefault="00ED02EE" w:rsidP="00ED02EE">
      <w:pPr>
        <w:widowControl w:val="0"/>
        <w:spacing w:line="276" w:lineRule="auto"/>
        <w:jc w:val="center"/>
        <w:rPr>
          <w:spacing w:val="-4"/>
          <w:sz w:val="22"/>
          <w:szCs w:val="22"/>
        </w:rPr>
      </w:pPr>
      <w:r w:rsidRPr="00A97FCF">
        <w:rPr>
          <w:spacing w:val="-4"/>
          <w:sz w:val="22"/>
          <w:szCs w:val="22"/>
        </w:rPr>
        <w:t>§ 1</w:t>
      </w:r>
      <w:r>
        <w:rPr>
          <w:spacing w:val="-4"/>
          <w:sz w:val="22"/>
          <w:szCs w:val="22"/>
        </w:rPr>
        <w:t>1</w:t>
      </w:r>
    </w:p>
    <w:p w14:paraId="59BE4BC8" w14:textId="6B283F1C" w:rsidR="00011CFB" w:rsidRDefault="00ED02EE" w:rsidP="00ED02EE">
      <w:pPr>
        <w:widowControl w:val="0"/>
        <w:spacing w:line="276" w:lineRule="auto"/>
        <w:rPr>
          <w:spacing w:val="-4"/>
          <w:sz w:val="22"/>
          <w:szCs w:val="22"/>
        </w:rPr>
      </w:pPr>
      <w:r w:rsidRPr="00A97FCF">
        <w:rPr>
          <w:spacing w:val="-4"/>
          <w:sz w:val="22"/>
          <w:szCs w:val="22"/>
        </w:rPr>
        <w:t>Umowę sporządzono w dwóch egzemplarzach , po jednym dla każdej ze stron</w:t>
      </w: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5FC126BD" w14:textId="77777777" w:rsidR="000D0007" w:rsidRDefault="000D0007" w:rsidP="00756244">
      <w:pPr>
        <w:widowControl w:val="0"/>
        <w:spacing w:line="276" w:lineRule="auto"/>
        <w:rPr>
          <w:spacing w:val="-4"/>
          <w:sz w:val="22"/>
          <w:szCs w:val="22"/>
        </w:rPr>
      </w:pPr>
    </w:p>
    <w:p w14:paraId="69A6784D" w14:textId="2848EA30" w:rsidR="000D0007" w:rsidRDefault="00B01CF8" w:rsidP="00B01CF8">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38F5F6D8" w14:textId="2785BE0E" w:rsidR="00011CFB" w:rsidRDefault="00011CFB" w:rsidP="00756244">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sidR="00DE083F">
        <w:rPr>
          <w:spacing w:val="-4"/>
          <w:sz w:val="24"/>
          <w:szCs w:val="24"/>
        </w:rPr>
        <w:tab/>
      </w:r>
      <w:r w:rsidRPr="00A97FCF">
        <w:rPr>
          <w:b/>
          <w:bCs/>
          <w:spacing w:val="-4"/>
          <w:sz w:val="24"/>
          <w:szCs w:val="24"/>
        </w:rPr>
        <w:t>ZLECENIOBIORCA</w:t>
      </w:r>
      <w:r w:rsidR="00DE083F">
        <w:rPr>
          <w:b/>
          <w:bCs/>
          <w:spacing w:val="-4"/>
          <w:sz w:val="24"/>
          <w:szCs w:val="24"/>
        </w:rPr>
        <w:t xml:space="preserve"> - PGG S.A.</w:t>
      </w:r>
    </w:p>
    <w:p w14:paraId="2D4CFCF3" w14:textId="77777777" w:rsidR="000D0007" w:rsidRDefault="000D0007" w:rsidP="00B60D82">
      <w:pPr>
        <w:widowControl w:val="0"/>
        <w:jc w:val="center"/>
        <w:rPr>
          <w:b/>
          <w:bCs/>
          <w:spacing w:val="-4"/>
          <w:sz w:val="24"/>
          <w:szCs w:val="24"/>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7F0577C2"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 nr ………………</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06A4A528"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5A743E">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Rzeczywisty zakres usług wynikać będzie z zapotrzebowa</w:t>
      </w:r>
      <w:r w:rsidR="00B01CF8">
        <w:rPr>
          <w:spacing w:val="-4"/>
          <w:sz w:val="22"/>
          <w:szCs w:val="24"/>
        </w:rPr>
        <w:t xml:space="preserve">ń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lub łączności telefonicznej i dostępu do sieci internet)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71825CED" w14:textId="77777777" w:rsidR="00DE083F" w:rsidRPr="00A97FCF" w:rsidRDefault="00DE083F" w:rsidP="00756244">
      <w:pPr>
        <w:widowControl w:val="0"/>
        <w:rPr>
          <w:spacing w:val="-4"/>
          <w:sz w:val="24"/>
          <w:szCs w:val="24"/>
        </w:rPr>
      </w:pPr>
    </w:p>
    <w:p w14:paraId="794BA407" w14:textId="77777777" w:rsidR="00DE083F" w:rsidRDefault="00DE083F" w:rsidP="00DE083F">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65E089E4" w14:textId="77777777" w:rsidR="00DE083F" w:rsidRDefault="00DE083F" w:rsidP="00DE083F">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Pr>
          <w:spacing w:val="-4"/>
          <w:sz w:val="24"/>
          <w:szCs w:val="24"/>
        </w:rPr>
        <w:tab/>
      </w:r>
      <w:r w:rsidRPr="00A97FCF">
        <w:rPr>
          <w:b/>
          <w:bCs/>
          <w:spacing w:val="-4"/>
          <w:sz w:val="24"/>
          <w:szCs w:val="24"/>
        </w:rPr>
        <w:t>ZLECENIOBIORCA</w:t>
      </w:r>
      <w:r>
        <w:rPr>
          <w:b/>
          <w:bCs/>
          <w:spacing w:val="-4"/>
          <w:sz w:val="24"/>
          <w:szCs w:val="24"/>
        </w:rPr>
        <w:t xml:space="preserve"> - PGG S.A.</w:t>
      </w:r>
    </w:p>
    <w:sectPr w:rsidR="00DE083F" w:rsidSect="002153F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1E2C" w14:textId="77777777" w:rsidR="005C0DF5" w:rsidRDefault="005C0DF5" w:rsidP="00011CFB">
      <w:r>
        <w:separator/>
      </w:r>
    </w:p>
  </w:endnote>
  <w:endnote w:type="continuationSeparator" w:id="0">
    <w:p w14:paraId="1DA419D0" w14:textId="77777777" w:rsidR="005C0DF5" w:rsidRDefault="005C0DF5"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EndPr/>
    <w:sdtContent>
      <w:sdt>
        <w:sdtPr>
          <w:id w:val="-1705238520"/>
          <w:docPartObj>
            <w:docPartGallery w:val="Page Numbers (Top of Page)"/>
            <w:docPartUnique/>
          </w:docPartObj>
        </w:sdtPr>
        <w:sdtEnd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7694" w14:textId="77777777" w:rsidR="005C0DF5" w:rsidRDefault="005C0DF5" w:rsidP="00011CFB">
      <w:r>
        <w:separator/>
      </w:r>
    </w:p>
  </w:footnote>
  <w:footnote w:type="continuationSeparator" w:id="0">
    <w:p w14:paraId="465CF252" w14:textId="77777777" w:rsidR="005C0DF5" w:rsidRDefault="005C0DF5"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8"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5"/>
  </w:num>
  <w:num w:numId="2" w16cid:durableId="1893497233">
    <w:abstractNumId w:val="10"/>
  </w:num>
  <w:num w:numId="3" w16cid:durableId="2091806120">
    <w:abstractNumId w:val="7"/>
  </w:num>
  <w:num w:numId="4" w16cid:durableId="2091735734">
    <w:abstractNumId w:val="2"/>
  </w:num>
  <w:num w:numId="5" w16cid:durableId="1777140786">
    <w:abstractNumId w:val="11"/>
  </w:num>
  <w:num w:numId="6" w16cid:durableId="274678185">
    <w:abstractNumId w:val="4"/>
  </w:num>
  <w:num w:numId="7" w16cid:durableId="495536382">
    <w:abstractNumId w:val="6"/>
  </w:num>
  <w:num w:numId="8" w16cid:durableId="976298967">
    <w:abstractNumId w:val="9"/>
  </w:num>
  <w:num w:numId="9" w16cid:durableId="1097824350">
    <w:abstractNumId w:val="8"/>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3358C"/>
    <w:rsid w:val="000574E3"/>
    <w:rsid w:val="0006488A"/>
    <w:rsid w:val="000653F2"/>
    <w:rsid w:val="000D0007"/>
    <w:rsid w:val="000F4CC9"/>
    <w:rsid w:val="000F7D4F"/>
    <w:rsid w:val="00117D0A"/>
    <w:rsid w:val="00161CE1"/>
    <w:rsid w:val="00180D3E"/>
    <w:rsid w:val="00187E9B"/>
    <w:rsid w:val="001A0785"/>
    <w:rsid w:val="001A7C22"/>
    <w:rsid w:val="001D0CFB"/>
    <w:rsid w:val="001D34A3"/>
    <w:rsid w:val="001D3EF6"/>
    <w:rsid w:val="001F3B3D"/>
    <w:rsid w:val="002153F5"/>
    <w:rsid w:val="00217DE6"/>
    <w:rsid w:val="00267FC7"/>
    <w:rsid w:val="002A0672"/>
    <w:rsid w:val="002E2921"/>
    <w:rsid w:val="002F4C89"/>
    <w:rsid w:val="003054CF"/>
    <w:rsid w:val="00310FE2"/>
    <w:rsid w:val="003304D6"/>
    <w:rsid w:val="003744B3"/>
    <w:rsid w:val="003C15E2"/>
    <w:rsid w:val="003C283E"/>
    <w:rsid w:val="00416424"/>
    <w:rsid w:val="00463CAF"/>
    <w:rsid w:val="00476560"/>
    <w:rsid w:val="00485261"/>
    <w:rsid w:val="004A16BC"/>
    <w:rsid w:val="004D094C"/>
    <w:rsid w:val="004F4040"/>
    <w:rsid w:val="005306CA"/>
    <w:rsid w:val="00541858"/>
    <w:rsid w:val="0054318E"/>
    <w:rsid w:val="00565B88"/>
    <w:rsid w:val="00566AC9"/>
    <w:rsid w:val="0058236F"/>
    <w:rsid w:val="0059587D"/>
    <w:rsid w:val="005A5882"/>
    <w:rsid w:val="005A743E"/>
    <w:rsid w:val="005B3489"/>
    <w:rsid w:val="005C0DF5"/>
    <w:rsid w:val="005C2F0B"/>
    <w:rsid w:val="005F2952"/>
    <w:rsid w:val="005F718D"/>
    <w:rsid w:val="00616783"/>
    <w:rsid w:val="0063200A"/>
    <w:rsid w:val="0065458E"/>
    <w:rsid w:val="00655E41"/>
    <w:rsid w:val="00663547"/>
    <w:rsid w:val="00664114"/>
    <w:rsid w:val="00691B95"/>
    <w:rsid w:val="00694D2E"/>
    <w:rsid w:val="006D4178"/>
    <w:rsid w:val="006E1BD4"/>
    <w:rsid w:val="006F3E96"/>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17DAE"/>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F536A"/>
    <w:rsid w:val="00B01CF8"/>
    <w:rsid w:val="00B3241A"/>
    <w:rsid w:val="00B53EBE"/>
    <w:rsid w:val="00B60D82"/>
    <w:rsid w:val="00B62D85"/>
    <w:rsid w:val="00BB0787"/>
    <w:rsid w:val="00BC52E4"/>
    <w:rsid w:val="00C16210"/>
    <w:rsid w:val="00C20034"/>
    <w:rsid w:val="00C241A1"/>
    <w:rsid w:val="00C47A00"/>
    <w:rsid w:val="00C730F7"/>
    <w:rsid w:val="00D162B0"/>
    <w:rsid w:val="00D6150D"/>
    <w:rsid w:val="00D62EA1"/>
    <w:rsid w:val="00D736CD"/>
    <w:rsid w:val="00D943B2"/>
    <w:rsid w:val="00D97EC6"/>
    <w:rsid w:val="00DD1970"/>
    <w:rsid w:val="00DE083F"/>
    <w:rsid w:val="00E15CF5"/>
    <w:rsid w:val="00E304B8"/>
    <w:rsid w:val="00E35107"/>
    <w:rsid w:val="00E3518F"/>
    <w:rsid w:val="00E37017"/>
    <w:rsid w:val="00E46A2E"/>
    <w:rsid w:val="00E63B22"/>
    <w:rsid w:val="00E71D89"/>
    <w:rsid w:val="00E93406"/>
    <w:rsid w:val="00EA156B"/>
    <w:rsid w:val="00EA5D20"/>
    <w:rsid w:val="00EB0855"/>
    <w:rsid w:val="00EB66C2"/>
    <w:rsid w:val="00EC475D"/>
    <w:rsid w:val="00EC7EC7"/>
    <w:rsid w:val="00ED02EE"/>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1828</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3</cp:revision>
  <cp:lastPrinted>2021-02-12T07:02:00Z</cp:lastPrinted>
  <dcterms:created xsi:type="dcterms:W3CDTF">2022-05-19T08:54:00Z</dcterms:created>
  <dcterms:modified xsi:type="dcterms:W3CDTF">2022-05-23T11:38:00Z</dcterms:modified>
</cp:coreProperties>
</file>